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1374" w:rsidRPr="00EE77C9" w:rsidRDefault="00D81374">
      <w:pPr>
        <w:pStyle w:val="BodyText"/>
        <w:spacing w:before="11"/>
        <w:rPr>
          <w:rFonts w:ascii="Arial" w:hAnsi="Arial" w:cs="Arial"/>
        </w:rPr>
      </w:pPr>
    </w:p>
    <w:p w:rsidR="00D81374" w:rsidRPr="00EE77C9" w:rsidRDefault="009A1C3D">
      <w:pPr>
        <w:pStyle w:val="Heading1"/>
        <w:spacing w:before="90"/>
        <w:ind w:left="2822"/>
        <w:jc w:val="left"/>
        <w:rPr>
          <w:rFonts w:ascii="Arial" w:hAnsi="Arial" w:cs="Arial"/>
        </w:rPr>
      </w:pPr>
      <w:r>
        <w:rPr>
          <w:rFonts w:ascii="Arial" w:hAnsi="Arial" w:cs="Arial"/>
        </w:rPr>
        <w:t>B.N. RATHI SECURITIES</w:t>
      </w:r>
      <w:r w:rsidR="00431E11" w:rsidRPr="00EE77C9">
        <w:rPr>
          <w:rFonts w:ascii="Arial" w:hAnsi="Arial" w:cs="Arial"/>
        </w:rPr>
        <w:t xml:space="preserve"> LIMITED</w:t>
      </w:r>
    </w:p>
    <w:p w:rsidR="00D81374" w:rsidRPr="00EE77C9" w:rsidRDefault="00D81374">
      <w:pPr>
        <w:pStyle w:val="BodyText"/>
        <w:spacing w:before="11"/>
        <w:rPr>
          <w:rFonts w:ascii="Arial" w:hAnsi="Arial" w:cs="Arial"/>
          <w:b/>
        </w:rPr>
      </w:pPr>
    </w:p>
    <w:p w:rsidR="00D81374" w:rsidRPr="00EE77C9" w:rsidRDefault="00431E11">
      <w:pPr>
        <w:ind w:left="1526" w:right="1526"/>
        <w:jc w:val="center"/>
        <w:rPr>
          <w:rFonts w:ascii="Arial" w:hAnsi="Arial" w:cs="Arial"/>
          <w:b/>
          <w:sz w:val="24"/>
          <w:szCs w:val="24"/>
        </w:rPr>
      </w:pPr>
      <w:r w:rsidRPr="00EE77C9">
        <w:rPr>
          <w:rFonts w:ascii="Arial" w:hAnsi="Arial" w:cs="Arial"/>
          <w:b/>
          <w:sz w:val="24"/>
          <w:szCs w:val="24"/>
        </w:rPr>
        <w:t>POLICY FOR DETERMINING MATERIAL SUBSIDIARIES</w:t>
      </w:r>
    </w:p>
    <w:p w:rsidR="00D81374" w:rsidRPr="00EE77C9" w:rsidRDefault="00D81374">
      <w:pPr>
        <w:pStyle w:val="BodyText"/>
        <w:rPr>
          <w:rFonts w:ascii="Arial" w:hAnsi="Arial" w:cs="Arial"/>
          <w:b/>
        </w:rPr>
      </w:pPr>
    </w:p>
    <w:p w:rsidR="00D81374" w:rsidRPr="00EE77C9" w:rsidRDefault="00856F14" w:rsidP="00856F14">
      <w:pPr>
        <w:pStyle w:val="BodyText"/>
        <w:numPr>
          <w:ilvl w:val="0"/>
          <w:numId w:val="3"/>
        </w:numPr>
        <w:ind w:left="142" w:firstLine="0"/>
        <w:rPr>
          <w:rFonts w:ascii="Arial" w:hAnsi="Arial" w:cs="Arial"/>
          <w:b/>
        </w:rPr>
      </w:pPr>
      <w:r w:rsidRPr="00EE77C9">
        <w:rPr>
          <w:rFonts w:ascii="Arial" w:hAnsi="Arial" w:cs="Arial"/>
          <w:b/>
        </w:rPr>
        <w:t xml:space="preserve">Introduction: </w:t>
      </w:r>
    </w:p>
    <w:p w:rsidR="00D81374" w:rsidRPr="00EE77C9" w:rsidRDefault="009A1C3D" w:rsidP="00856F14">
      <w:pPr>
        <w:pStyle w:val="BodyText"/>
        <w:ind w:left="101" w:right="103"/>
        <w:jc w:val="both"/>
        <w:rPr>
          <w:rFonts w:ascii="Arial" w:hAnsi="Arial" w:cs="Arial"/>
        </w:rPr>
      </w:pPr>
      <w:r>
        <w:rPr>
          <w:rFonts w:ascii="Arial" w:hAnsi="Arial" w:cs="Arial"/>
        </w:rPr>
        <w:t>B.N. RATHI SECURITIES</w:t>
      </w:r>
      <w:r w:rsidR="00431E11" w:rsidRPr="00EE77C9">
        <w:rPr>
          <w:rFonts w:ascii="Arial" w:hAnsi="Arial" w:cs="Arial"/>
        </w:rPr>
        <w:t xml:space="preserve"> LIMITED (‘</w:t>
      </w:r>
      <w:r w:rsidR="00431E11" w:rsidRPr="00EE77C9">
        <w:rPr>
          <w:rFonts w:ascii="Arial" w:hAnsi="Arial" w:cs="Arial"/>
          <w:b/>
        </w:rPr>
        <w:t>the Company)</w:t>
      </w:r>
      <w:r w:rsidR="00431E11" w:rsidRPr="00EE77C9">
        <w:rPr>
          <w:rFonts w:ascii="Arial" w:hAnsi="Arial" w:cs="Arial"/>
        </w:rPr>
        <w:t>, being a Listed Company, is also governed by the rules and regulations issued by Securities and Exchange Board of India (SEBI). This policy will be used to determine the Material Subsidiary Company and Material Non</w:t>
      </w:r>
      <w:r w:rsidR="00856F14" w:rsidRPr="00EE77C9">
        <w:rPr>
          <w:rFonts w:ascii="Arial" w:hAnsi="Arial" w:cs="Arial"/>
        </w:rPr>
        <w:t>-</w:t>
      </w:r>
      <w:r w:rsidR="00431E11" w:rsidRPr="00EE77C9">
        <w:rPr>
          <w:rFonts w:ascii="Arial" w:hAnsi="Arial" w:cs="Arial"/>
        </w:rPr>
        <w:t xml:space="preserve">Listed </w:t>
      </w:r>
      <w:proofErr w:type="spellStart"/>
      <w:r w:rsidR="00431E11" w:rsidRPr="00EE77C9">
        <w:rPr>
          <w:rFonts w:ascii="Arial" w:hAnsi="Arial" w:cs="Arial"/>
        </w:rPr>
        <w:t>lndian</w:t>
      </w:r>
      <w:proofErr w:type="spellEnd"/>
      <w:r w:rsidR="00431E11" w:rsidRPr="00EE77C9">
        <w:rPr>
          <w:rFonts w:ascii="Arial" w:hAnsi="Arial" w:cs="Arial"/>
        </w:rPr>
        <w:t xml:space="preserve"> Subsidiary Company of the Company and to provide the governance framework for such subsidiaries.</w:t>
      </w:r>
    </w:p>
    <w:p w:rsidR="00D81374" w:rsidRPr="00EE77C9" w:rsidRDefault="00D81374">
      <w:pPr>
        <w:pStyle w:val="BodyText"/>
        <w:rPr>
          <w:rFonts w:ascii="Arial" w:hAnsi="Arial" w:cs="Arial"/>
        </w:rPr>
      </w:pPr>
    </w:p>
    <w:p w:rsidR="00D81374" w:rsidRPr="00EE77C9" w:rsidRDefault="00431E11">
      <w:pPr>
        <w:pStyle w:val="BodyText"/>
        <w:ind w:left="101" w:right="101"/>
        <w:jc w:val="both"/>
        <w:rPr>
          <w:rFonts w:ascii="Arial" w:hAnsi="Arial" w:cs="Arial"/>
        </w:rPr>
      </w:pPr>
      <w:r w:rsidRPr="00EE77C9">
        <w:rPr>
          <w:rFonts w:ascii="Arial" w:hAnsi="Arial" w:cs="Arial"/>
        </w:rPr>
        <w:t>The Board of Directors (Board) of the Company has adopted the Policy for Determining Material Subsidiaries (Policy) in accordance with the Regulation 27 of SEBI (LODR) Regulations 2015 enumerated below.</w:t>
      </w:r>
    </w:p>
    <w:p w:rsidR="00D81374" w:rsidRPr="00EE77C9" w:rsidRDefault="00D81374">
      <w:pPr>
        <w:pStyle w:val="BodyText"/>
        <w:rPr>
          <w:rFonts w:ascii="Arial" w:hAnsi="Arial" w:cs="Arial"/>
        </w:rPr>
      </w:pPr>
    </w:p>
    <w:p w:rsidR="00D81374" w:rsidRPr="00EE77C9" w:rsidRDefault="00856F14">
      <w:pPr>
        <w:pStyle w:val="BodyText"/>
        <w:spacing w:before="1"/>
        <w:ind w:left="101" w:right="103"/>
        <w:jc w:val="both"/>
        <w:rPr>
          <w:rFonts w:ascii="Arial" w:hAnsi="Arial" w:cs="Arial"/>
        </w:rPr>
      </w:pPr>
      <w:r w:rsidRPr="00EE77C9">
        <w:rPr>
          <w:rFonts w:ascii="Arial" w:hAnsi="Arial" w:cs="Arial"/>
          <w:b/>
        </w:rPr>
        <w:t xml:space="preserve">II. </w:t>
      </w:r>
      <w:r w:rsidR="00431E11" w:rsidRPr="00EE77C9">
        <w:rPr>
          <w:rFonts w:ascii="Arial" w:hAnsi="Arial" w:cs="Arial"/>
          <w:b/>
        </w:rPr>
        <w:t>Definitions</w:t>
      </w:r>
      <w:r w:rsidRPr="00EE77C9">
        <w:rPr>
          <w:rFonts w:ascii="Arial" w:hAnsi="Arial" w:cs="Arial"/>
        </w:rPr>
        <w:t xml:space="preserve">: </w:t>
      </w:r>
      <w:r w:rsidR="00431E11" w:rsidRPr="00EE77C9">
        <w:rPr>
          <w:rFonts w:ascii="Arial" w:hAnsi="Arial" w:cs="Arial"/>
        </w:rPr>
        <w:t>The terms defined in this Policy shall have the meanings herein specified and terms not defined shall have the meanings as defined in the Companies Act, 2013 ('Act') and Regulation 27 of SEBI (LODR) Regulations 2015 including any statutory modifications or reenactments</w:t>
      </w:r>
      <w:r w:rsidR="00431E11" w:rsidRPr="00EE77C9">
        <w:rPr>
          <w:rFonts w:ascii="Arial" w:hAnsi="Arial" w:cs="Arial"/>
          <w:spacing w:val="-1"/>
        </w:rPr>
        <w:t xml:space="preserve"> </w:t>
      </w:r>
      <w:r w:rsidR="00431E11" w:rsidRPr="00EE77C9">
        <w:rPr>
          <w:rFonts w:ascii="Arial" w:hAnsi="Arial" w:cs="Arial"/>
        </w:rPr>
        <w:t>thereof.</w:t>
      </w:r>
    </w:p>
    <w:p w:rsidR="00D81374" w:rsidRPr="00EE77C9" w:rsidRDefault="00D81374">
      <w:pPr>
        <w:pStyle w:val="BodyText"/>
        <w:spacing w:before="11"/>
        <w:rPr>
          <w:rFonts w:ascii="Arial" w:hAnsi="Arial" w:cs="Arial"/>
        </w:rPr>
      </w:pPr>
    </w:p>
    <w:p w:rsidR="00D81374" w:rsidRPr="00EE77C9" w:rsidRDefault="00431E11">
      <w:pPr>
        <w:pStyle w:val="BodyText"/>
        <w:ind w:left="101" w:right="103"/>
        <w:jc w:val="both"/>
        <w:rPr>
          <w:rFonts w:ascii="Arial" w:hAnsi="Arial" w:cs="Arial"/>
        </w:rPr>
      </w:pPr>
      <w:r w:rsidRPr="00EE77C9">
        <w:rPr>
          <w:rFonts w:ascii="Arial" w:hAnsi="Arial" w:cs="Arial"/>
        </w:rPr>
        <w:t>“Act" means the Companies Act, 2013 including any statutory modification or re-enactment thereof.</w:t>
      </w:r>
    </w:p>
    <w:p w:rsidR="00D81374" w:rsidRPr="00EE77C9" w:rsidRDefault="00D81374">
      <w:pPr>
        <w:pStyle w:val="BodyText"/>
        <w:rPr>
          <w:rFonts w:ascii="Arial" w:hAnsi="Arial" w:cs="Arial"/>
        </w:rPr>
      </w:pPr>
    </w:p>
    <w:p w:rsidR="00D81374" w:rsidRPr="00EE77C9" w:rsidRDefault="00431E11">
      <w:pPr>
        <w:pStyle w:val="BodyText"/>
        <w:ind w:left="101" w:right="108" w:firstLine="91"/>
        <w:jc w:val="both"/>
        <w:rPr>
          <w:rFonts w:ascii="Arial" w:hAnsi="Arial" w:cs="Arial"/>
        </w:rPr>
      </w:pPr>
      <w:r w:rsidRPr="00EE77C9">
        <w:rPr>
          <w:rFonts w:ascii="Arial" w:hAnsi="Arial" w:cs="Arial"/>
        </w:rPr>
        <w:t>“Audit Committee" means the Audit Committee constituted by the Board of Directors of the Company in accordance with Section 177 of the Companies Act, 2013 read with Regulation 27 of SEBI (LODR) Regulations</w:t>
      </w:r>
      <w:r w:rsidRPr="00EE77C9">
        <w:rPr>
          <w:rFonts w:ascii="Arial" w:hAnsi="Arial" w:cs="Arial"/>
          <w:spacing w:val="-3"/>
        </w:rPr>
        <w:t xml:space="preserve"> </w:t>
      </w:r>
      <w:r w:rsidRPr="00EE77C9">
        <w:rPr>
          <w:rFonts w:ascii="Arial" w:hAnsi="Arial" w:cs="Arial"/>
        </w:rPr>
        <w:t>2015.</w:t>
      </w:r>
    </w:p>
    <w:p w:rsidR="00D81374" w:rsidRPr="00EE77C9" w:rsidRDefault="00D81374">
      <w:pPr>
        <w:pStyle w:val="BodyText"/>
        <w:rPr>
          <w:rFonts w:ascii="Arial" w:hAnsi="Arial" w:cs="Arial"/>
        </w:rPr>
      </w:pPr>
    </w:p>
    <w:p w:rsidR="00D81374" w:rsidRPr="00EE77C9" w:rsidRDefault="00431E11">
      <w:pPr>
        <w:pStyle w:val="BodyText"/>
        <w:ind w:left="101" w:right="106"/>
        <w:jc w:val="both"/>
        <w:rPr>
          <w:rFonts w:ascii="Arial" w:hAnsi="Arial" w:cs="Arial"/>
        </w:rPr>
      </w:pPr>
      <w:r w:rsidRPr="00EE77C9">
        <w:rPr>
          <w:rFonts w:ascii="Arial" w:hAnsi="Arial" w:cs="Arial"/>
        </w:rPr>
        <w:t>“Board of Directors" or "Board" means the Board of Directors of B.N. Rathi Securities Limited, as constituted from time to time. "Company" means B.N. Rathi Securities Limited.</w:t>
      </w:r>
    </w:p>
    <w:p w:rsidR="00D81374" w:rsidRPr="00EE77C9" w:rsidRDefault="00D81374">
      <w:pPr>
        <w:pStyle w:val="BodyText"/>
        <w:rPr>
          <w:rFonts w:ascii="Arial" w:hAnsi="Arial" w:cs="Arial"/>
        </w:rPr>
      </w:pPr>
    </w:p>
    <w:p w:rsidR="00D81374" w:rsidRPr="00EE77C9" w:rsidRDefault="00431E11">
      <w:pPr>
        <w:pStyle w:val="BodyText"/>
        <w:ind w:left="101"/>
        <w:jc w:val="both"/>
        <w:rPr>
          <w:rFonts w:ascii="Arial" w:hAnsi="Arial" w:cs="Arial"/>
        </w:rPr>
      </w:pPr>
      <w:r w:rsidRPr="00EE77C9">
        <w:rPr>
          <w:rFonts w:ascii="Arial" w:hAnsi="Arial" w:cs="Arial"/>
        </w:rPr>
        <w:t>“Group</w:t>
      </w:r>
      <w:proofErr w:type="gramStart"/>
      <w:r w:rsidRPr="00EE77C9">
        <w:rPr>
          <w:rFonts w:ascii="Arial" w:hAnsi="Arial" w:cs="Arial"/>
        </w:rPr>
        <w:t>,,</w:t>
      </w:r>
      <w:proofErr w:type="gramEnd"/>
      <w:r w:rsidRPr="00EE77C9">
        <w:rPr>
          <w:rFonts w:ascii="Arial" w:hAnsi="Arial" w:cs="Arial"/>
        </w:rPr>
        <w:t xml:space="preserve"> means B.N. RATHI SECURITIES LIMITED and its Subsidiary Companies.</w:t>
      </w:r>
    </w:p>
    <w:p w:rsidR="00D81374" w:rsidRPr="00EE77C9" w:rsidRDefault="00D81374">
      <w:pPr>
        <w:pStyle w:val="BodyText"/>
        <w:rPr>
          <w:rFonts w:ascii="Arial" w:hAnsi="Arial" w:cs="Arial"/>
        </w:rPr>
      </w:pPr>
    </w:p>
    <w:p w:rsidR="00D81374" w:rsidRPr="00EE77C9" w:rsidRDefault="00431E11">
      <w:pPr>
        <w:pStyle w:val="BodyText"/>
        <w:ind w:left="101" w:right="104"/>
        <w:jc w:val="both"/>
        <w:rPr>
          <w:rFonts w:ascii="Arial" w:hAnsi="Arial" w:cs="Arial"/>
        </w:rPr>
      </w:pPr>
      <w:r w:rsidRPr="00EE77C9">
        <w:rPr>
          <w:rFonts w:ascii="Arial" w:hAnsi="Arial" w:cs="Arial"/>
        </w:rPr>
        <w:t>“Independent Director" means an independent director referred to in sub-section (6) of Section 149 of the Act and appointed as such;</w:t>
      </w:r>
    </w:p>
    <w:p w:rsidR="00D81374" w:rsidRPr="00EE77C9" w:rsidRDefault="00D81374">
      <w:pPr>
        <w:pStyle w:val="BodyText"/>
        <w:rPr>
          <w:rFonts w:ascii="Arial" w:hAnsi="Arial" w:cs="Arial"/>
        </w:rPr>
      </w:pPr>
    </w:p>
    <w:p w:rsidR="00D81374" w:rsidRPr="00EE77C9" w:rsidRDefault="00431E11">
      <w:pPr>
        <w:pStyle w:val="BodyText"/>
        <w:spacing w:before="1"/>
        <w:ind w:left="101" w:right="101"/>
        <w:jc w:val="both"/>
        <w:rPr>
          <w:rFonts w:ascii="Arial" w:hAnsi="Arial" w:cs="Arial"/>
        </w:rPr>
      </w:pPr>
      <w:r w:rsidRPr="00EE77C9">
        <w:rPr>
          <w:rFonts w:ascii="Arial" w:hAnsi="Arial" w:cs="Arial"/>
        </w:rPr>
        <w:t>“Policy" means Policy for determining Material Subsidiary (</w:t>
      </w:r>
      <w:proofErr w:type="spellStart"/>
      <w:r w:rsidRPr="00EE77C9">
        <w:rPr>
          <w:rFonts w:ascii="Arial" w:hAnsi="Arial" w:cs="Arial"/>
        </w:rPr>
        <w:t>ies</w:t>
      </w:r>
      <w:proofErr w:type="spellEnd"/>
      <w:r w:rsidRPr="00EE77C9">
        <w:rPr>
          <w:rFonts w:ascii="Arial" w:hAnsi="Arial" w:cs="Arial"/>
        </w:rPr>
        <w:t>) of the Company amended from time to time.</w:t>
      </w:r>
    </w:p>
    <w:p w:rsidR="00D81374" w:rsidRPr="00EE77C9" w:rsidRDefault="00D81374">
      <w:pPr>
        <w:pStyle w:val="BodyText"/>
        <w:spacing w:before="11"/>
        <w:rPr>
          <w:rFonts w:ascii="Arial" w:hAnsi="Arial" w:cs="Arial"/>
        </w:rPr>
      </w:pPr>
    </w:p>
    <w:p w:rsidR="00D81374" w:rsidRPr="00EE77C9" w:rsidRDefault="00431E11">
      <w:pPr>
        <w:pStyle w:val="BodyText"/>
        <w:ind w:left="101" w:right="105"/>
        <w:jc w:val="both"/>
        <w:rPr>
          <w:rFonts w:ascii="Arial" w:hAnsi="Arial" w:cs="Arial"/>
        </w:rPr>
      </w:pPr>
      <w:r w:rsidRPr="00F85D99">
        <w:rPr>
          <w:rFonts w:ascii="Arial" w:hAnsi="Arial" w:cs="Arial"/>
        </w:rPr>
        <w:t>"Material Subsidiary'' shall mean a Subsidiary in which the Investment of the Company exceeds 10% of its consolidated net worth of the Group or a Subsidiary who has generated more than 10% of the consolidated income of the Group during the previous financial year as per the audited financial statements for the previous financial year of the</w:t>
      </w:r>
      <w:r w:rsidRPr="00F85D99">
        <w:rPr>
          <w:rFonts w:ascii="Arial" w:hAnsi="Arial" w:cs="Arial"/>
          <w:spacing w:val="-5"/>
        </w:rPr>
        <w:t xml:space="preserve"> </w:t>
      </w:r>
      <w:r w:rsidRPr="00F85D99">
        <w:rPr>
          <w:rFonts w:ascii="Arial" w:hAnsi="Arial" w:cs="Arial"/>
        </w:rPr>
        <w:t>Group.</w:t>
      </w:r>
    </w:p>
    <w:p w:rsidR="00D81374" w:rsidRPr="00EE77C9" w:rsidRDefault="00D81374">
      <w:pPr>
        <w:jc w:val="both"/>
        <w:rPr>
          <w:rFonts w:ascii="Arial" w:hAnsi="Arial" w:cs="Arial"/>
          <w:sz w:val="24"/>
          <w:szCs w:val="24"/>
        </w:rPr>
        <w:sectPr w:rsidR="00D81374" w:rsidRPr="00EE77C9">
          <w:type w:val="continuous"/>
          <w:pgSz w:w="12240" w:h="15840"/>
          <w:pgMar w:top="1500" w:right="1340" w:bottom="280" w:left="1340" w:header="720" w:footer="720" w:gutter="0"/>
          <w:cols w:space="720"/>
        </w:sectPr>
      </w:pPr>
    </w:p>
    <w:p w:rsidR="00D81374" w:rsidRPr="00EE77C9" w:rsidRDefault="00431E11">
      <w:pPr>
        <w:pStyle w:val="BodyText"/>
        <w:spacing w:before="60"/>
        <w:ind w:left="101" w:right="106" w:firstLine="95"/>
        <w:jc w:val="both"/>
        <w:rPr>
          <w:rFonts w:ascii="Arial" w:hAnsi="Arial" w:cs="Arial"/>
        </w:rPr>
      </w:pPr>
      <w:r w:rsidRPr="00EE77C9">
        <w:rPr>
          <w:rFonts w:ascii="Arial" w:hAnsi="Arial" w:cs="Arial"/>
        </w:rPr>
        <w:lastRenderedPageBreak/>
        <w:t xml:space="preserve">"Material Non Listed Indian Subsidiary" means a Material Subsidiary, incorporated in </w:t>
      </w:r>
      <w:proofErr w:type="spellStart"/>
      <w:r w:rsidRPr="00EE77C9">
        <w:rPr>
          <w:rFonts w:ascii="Arial" w:hAnsi="Arial" w:cs="Arial"/>
        </w:rPr>
        <w:t>lndia</w:t>
      </w:r>
      <w:proofErr w:type="spellEnd"/>
      <w:r w:rsidRPr="00EE77C9">
        <w:rPr>
          <w:rFonts w:ascii="Arial" w:hAnsi="Arial" w:cs="Arial"/>
        </w:rPr>
        <w:t>, whose securities are not listed on any recognized stock exchanges in India.</w:t>
      </w:r>
    </w:p>
    <w:p w:rsidR="00D81374" w:rsidRPr="00EE77C9" w:rsidRDefault="00D81374">
      <w:pPr>
        <w:pStyle w:val="BodyText"/>
        <w:rPr>
          <w:rFonts w:ascii="Arial" w:hAnsi="Arial" w:cs="Arial"/>
        </w:rPr>
      </w:pPr>
    </w:p>
    <w:p w:rsidR="00D81374" w:rsidRPr="00EE77C9" w:rsidRDefault="00431E11">
      <w:pPr>
        <w:pStyle w:val="BodyText"/>
        <w:ind w:left="101" w:right="112" w:firstLine="127"/>
        <w:jc w:val="both"/>
        <w:rPr>
          <w:rFonts w:ascii="Arial" w:hAnsi="Arial" w:cs="Arial"/>
        </w:rPr>
      </w:pPr>
      <w:r w:rsidRPr="00EE77C9">
        <w:rPr>
          <w:rFonts w:ascii="Arial" w:hAnsi="Arial" w:cs="Arial"/>
        </w:rPr>
        <w:t>"Listed Indian Company" means a company, incorporated in India which has any of its securities listed on any recognized stock exchanges in India;</w:t>
      </w:r>
    </w:p>
    <w:p w:rsidR="00D81374" w:rsidRPr="00EE77C9" w:rsidRDefault="00D81374">
      <w:pPr>
        <w:pStyle w:val="BodyText"/>
        <w:rPr>
          <w:rFonts w:ascii="Arial" w:hAnsi="Arial" w:cs="Arial"/>
        </w:rPr>
      </w:pPr>
    </w:p>
    <w:p w:rsidR="00D81374" w:rsidRPr="00EE77C9" w:rsidRDefault="00431E11">
      <w:pPr>
        <w:pStyle w:val="BodyText"/>
        <w:ind w:left="101" w:right="100"/>
        <w:jc w:val="both"/>
        <w:rPr>
          <w:rFonts w:ascii="Arial" w:hAnsi="Arial" w:cs="Arial"/>
        </w:rPr>
      </w:pPr>
      <w:r w:rsidRPr="00EE77C9">
        <w:rPr>
          <w:rFonts w:ascii="Arial" w:hAnsi="Arial" w:cs="Arial"/>
        </w:rPr>
        <w:t>"Recognized stock exchange" means a recognized stock exchange as defined in clause (f) of section 2 of the Securities Contracts (Regulation) Act, 1956 (42 of 1956);</w:t>
      </w:r>
    </w:p>
    <w:p w:rsidR="00D81374" w:rsidRPr="00EE77C9" w:rsidRDefault="00D81374">
      <w:pPr>
        <w:pStyle w:val="BodyText"/>
        <w:rPr>
          <w:rFonts w:ascii="Arial" w:hAnsi="Arial" w:cs="Arial"/>
        </w:rPr>
      </w:pPr>
    </w:p>
    <w:p w:rsidR="00D81374" w:rsidRPr="00EE77C9" w:rsidRDefault="00431E11">
      <w:pPr>
        <w:pStyle w:val="BodyText"/>
        <w:ind w:left="101" w:right="109" w:firstLine="65"/>
        <w:jc w:val="both"/>
        <w:rPr>
          <w:rFonts w:ascii="Arial" w:hAnsi="Arial" w:cs="Arial"/>
        </w:rPr>
      </w:pPr>
      <w:r w:rsidRPr="00EE77C9">
        <w:rPr>
          <w:rFonts w:ascii="Arial" w:hAnsi="Arial" w:cs="Arial"/>
        </w:rPr>
        <w:t>"Securities" means the securities as defined in clause (h) of section 2 of the Securities Contracts (Regulation) Act, 1956 (42 of 1956);</w:t>
      </w:r>
    </w:p>
    <w:p w:rsidR="00D81374" w:rsidRPr="00EE77C9" w:rsidRDefault="00D81374">
      <w:pPr>
        <w:pStyle w:val="BodyText"/>
        <w:rPr>
          <w:rFonts w:ascii="Arial" w:hAnsi="Arial" w:cs="Arial"/>
        </w:rPr>
      </w:pPr>
    </w:p>
    <w:p w:rsidR="00D81374" w:rsidRPr="00EE77C9" w:rsidRDefault="00431E11">
      <w:pPr>
        <w:pStyle w:val="BodyText"/>
        <w:ind w:left="101" w:right="105"/>
        <w:jc w:val="both"/>
        <w:rPr>
          <w:rFonts w:ascii="Arial" w:hAnsi="Arial" w:cs="Arial"/>
        </w:rPr>
      </w:pPr>
      <w:r w:rsidRPr="00EE77C9">
        <w:rPr>
          <w:rFonts w:ascii="Arial" w:hAnsi="Arial" w:cs="Arial"/>
        </w:rPr>
        <w:t>“Significant Transaction or Arrangement" means any individual transaction or arrangement that exceeds or is likely to exceed 1O%of the total revenues or total expenses or total assets or total liabilities, as the case may be, of the material unlisted subsidiary for the immediately preceding accounting year.</w:t>
      </w:r>
    </w:p>
    <w:p w:rsidR="00D81374" w:rsidRPr="00EE77C9" w:rsidRDefault="00D81374">
      <w:pPr>
        <w:pStyle w:val="BodyText"/>
        <w:rPr>
          <w:rFonts w:ascii="Arial" w:hAnsi="Arial" w:cs="Arial"/>
        </w:rPr>
      </w:pPr>
    </w:p>
    <w:p w:rsidR="00D81374" w:rsidRPr="00EE77C9" w:rsidRDefault="00431E11">
      <w:pPr>
        <w:pStyle w:val="BodyText"/>
        <w:spacing w:line="480" w:lineRule="auto"/>
        <w:ind w:left="101" w:right="1291" w:firstLine="60"/>
        <w:rPr>
          <w:rFonts w:ascii="Arial" w:hAnsi="Arial" w:cs="Arial"/>
          <w:b/>
        </w:rPr>
      </w:pPr>
      <w:r w:rsidRPr="00EE77C9">
        <w:rPr>
          <w:rFonts w:ascii="Arial" w:hAnsi="Arial" w:cs="Arial"/>
        </w:rPr>
        <w:t xml:space="preserve">"Subsidiary" means a Subsidiary Company as defined in Section 2(87) of the Act. </w:t>
      </w:r>
      <w:proofErr w:type="spellStart"/>
      <w:proofErr w:type="gramStart"/>
      <w:r w:rsidRPr="00EE77C9">
        <w:rPr>
          <w:rFonts w:ascii="Arial" w:hAnsi="Arial" w:cs="Arial"/>
          <w:b/>
        </w:rPr>
        <w:t>lll</w:t>
      </w:r>
      <w:proofErr w:type="spellEnd"/>
      <w:proofErr w:type="gramEnd"/>
      <w:r w:rsidRPr="00EE77C9">
        <w:rPr>
          <w:rFonts w:ascii="Arial" w:hAnsi="Arial" w:cs="Arial"/>
          <w:b/>
        </w:rPr>
        <w:t>. Policy and Procedure:</w:t>
      </w:r>
    </w:p>
    <w:p w:rsidR="00D81374" w:rsidRPr="00EE77C9" w:rsidRDefault="00431E11">
      <w:pPr>
        <w:pStyle w:val="ListParagraph"/>
        <w:numPr>
          <w:ilvl w:val="0"/>
          <w:numId w:val="1"/>
        </w:numPr>
        <w:tabs>
          <w:tab w:val="left" w:pos="340"/>
        </w:tabs>
        <w:ind w:left="101" w:right="113" w:firstLine="0"/>
        <w:jc w:val="left"/>
        <w:rPr>
          <w:rFonts w:ascii="Arial" w:hAnsi="Arial" w:cs="Arial"/>
          <w:sz w:val="24"/>
          <w:szCs w:val="24"/>
        </w:rPr>
      </w:pPr>
      <w:r w:rsidRPr="00EE77C9">
        <w:rPr>
          <w:rFonts w:ascii="Arial" w:hAnsi="Arial" w:cs="Arial"/>
          <w:sz w:val="24"/>
          <w:szCs w:val="24"/>
        </w:rPr>
        <w:t>The Management will identify the Subsidiary Company (</w:t>
      </w:r>
      <w:proofErr w:type="spellStart"/>
      <w:r w:rsidRPr="00EE77C9">
        <w:rPr>
          <w:rFonts w:ascii="Arial" w:hAnsi="Arial" w:cs="Arial"/>
          <w:sz w:val="24"/>
          <w:szCs w:val="24"/>
        </w:rPr>
        <w:t>ies</w:t>
      </w:r>
      <w:proofErr w:type="spellEnd"/>
      <w:r w:rsidRPr="00EE77C9">
        <w:rPr>
          <w:rFonts w:ascii="Arial" w:hAnsi="Arial" w:cs="Arial"/>
          <w:sz w:val="24"/>
          <w:szCs w:val="24"/>
        </w:rPr>
        <w:t>) of the Company which fulfils the conditions laid down in Section 2(87) of the Companies Act, 2013 on periodic</w:t>
      </w:r>
      <w:r w:rsidRPr="00EE77C9">
        <w:rPr>
          <w:rFonts w:ascii="Arial" w:hAnsi="Arial" w:cs="Arial"/>
          <w:spacing w:val="-20"/>
          <w:sz w:val="24"/>
          <w:szCs w:val="24"/>
        </w:rPr>
        <w:t xml:space="preserve"> </w:t>
      </w:r>
      <w:r w:rsidRPr="00EE77C9">
        <w:rPr>
          <w:rFonts w:ascii="Arial" w:hAnsi="Arial" w:cs="Arial"/>
          <w:sz w:val="24"/>
          <w:szCs w:val="24"/>
        </w:rPr>
        <w:t>basis.</w:t>
      </w:r>
    </w:p>
    <w:p w:rsidR="00D81374" w:rsidRPr="00EE77C9" w:rsidRDefault="00D81374">
      <w:pPr>
        <w:pStyle w:val="BodyText"/>
        <w:rPr>
          <w:rFonts w:ascii="Arial" w:hAnsi="Arial" w:cs="Arial"/>
        </w:rPr>
      </w:pPr>
    </w:p>
    <w:p w:rsidR="00D81374" w:rsidRPr="00EE77C9" w:rsidRDefault="00431E11">
      <w:pPr>
        <w:pStyle w:val="ListParagraph"/>
        <w:numPr>
          <w:ilvl w:val="0"/>
          <w:numId w:val="1"/>
        </w:numPr>
        <w:tabs>
          <w:tab w:val="left" w:pos="374"/>
        </w:tabs>
        <w:ind w:left="101" w:firstLine="0"/>
        <w:jc w:val="both"/>
        <w:rPr>
          <w:rFonts w:ascii="Arial" w:hAnsi="Arial" w:cs="Arial"/>
          <w:sz w:val="24"/>
          <w:szCs w:val="24"/>
        </w:rPr>
      </w:pPr>
      <w:r w:rsidRPr="00EE77C9">
        <w:rPr>
          <w:rFonts w:ascii="Arial" w:hAnsi="Arial" w:cs="Arial"/>
          <w:sz w:val="24"/>
          <w:szCs w:val="24"/>
        </w:rPr>
        <w:t>The Management will identify amongst the Subsidiary Company (</w:t>
      </w:r>
      <w:proofErr w:type="spellStart"/>
      <w:r w:rsidRPr="00EE77C9">
        <w:rPr>
          <w:rFonts w:ascii="Arial" w:hAnsi="Arial" w:cs="Arial"/>
          <w:sz w:val="24"/>
          <w:szCs w:val="24"/>
        </w:rPr>
        <w:t>ies</w:t>
      </w:r>
      <w:proofErr w:type="spellEnd"/>
      <w:r w:rsidRPr="00EE77C9">
        <w:rPr>
          <w:rFonts w:ascii="Arial" w:hAnsi="Arial" w:cs="Arial"/>
          <w:sz w:val="24"/>
          <w:szCs w:val="24"/>
        </w:rPr>
        <w:t>), Material Subsidiary (</w:t>
      </w:r>
      <w:proofErr w:type="spellStart"/>
      <w:r w:rsidRPr="00EE77C9">
        <w:rPr>
          <w:rFonts w:ascii="Arial" w:hAnsi="Arial" w:cs="Arial"/>
          <w:sz w:val="24"/>
          <w:szCs w:val="24"/>
        </w:rPr>
        <w:t>ies</w:t>
      </w:r>
      <w:proofErr w:type="spellEnd"/>
      <w:r w:rsidRPr="00EE77C9">
        <w:rPr>
          <w:rFonts w:ascii="Arial" w:hAnsi="Arial" w:cs="Arial"/>
          <w:sz w:val="24"/>
          <w:szCs w:val="24"/>
        </w:rPr>
        <w:t xml:space="preserve">), which are, listed or non-listed, and, </w:t>
      </w:r>
      <w:proofErr w:type="spellStart"/>
      <w:r w:rsidRPr="00EE77C9">
        <w:rPr>
          <w:rFonts w:ascii="Arial" w:hAnsi="Arial" w:cs="Arial"/>
          <w:sz w:val="24"/>
          <w:szCs w:val="24"/>
        </w:rPr>
        <w:t>lndian</w:t>
      </w:r>
      <w:proofErr w:type="spellEnd"/>
      <w:r w:rsidRPr="00EE77C9">
        <w:rPr>
          <w:rFonts w:ascii="Arial" w:hAnsi="Arial" w:cs="Arial"/>
          <w:sz w:val="24"/>
          <w:szCs w:val="24"/>
        </w:rPr>
        <w:t xml:space="preserve"> or non-</w:t>
      </w:r>
      <w:proofErr w:type="spellStart"/>
      <w:r w:rsidRPr="00EE77C9">
        <w:rPr>
          <w:rFonts w:ascii="Arial" w:hAnsi="Arial" w:cs="Arial"/>
          <w:sz w:val="24"/>
          <w:szCs w:val="24"/>
        </w:rPr>
        <w:t>lndian</w:t>
      </w:r>
      <w:proofErr w:type="spellEnd"/>
      <w:r w:rsidRPr="00EE77C9">
        <w:rPr>
          <w:rFonts w:ascii="Arial" w:hAnsi="Arial" w:cs="Arial"/>
          <w:sz w:val="24"/>
          <w:szCs w:val="24"/>
        </w:rPr>
        <w:t xml:space="preserve"> and will present the details of Material Subsidiary (</w:t>
      </w:r>
      <w:proofErr w:type="spellStart"/>
      <w:r w:rsidRPr="00EE77C9">
        <w:rPr>
          <w:rFonts w:ascii="Arial" w:hAnsi="Arial" w:cs="Arial"/>
          <w:sz w:val="24"/>
          <w:szCs w:val="24"/>
        </w:rPr>
        <w:t>ies</w:t>
      </w:r>
      <w:proofErr w:type="spellEnd"/>
      <w:r w:rsidRPr="00EE77C9">
        <w:rPr>
          <w:rFonts w:ascii="Arial" w:hAnsi="Arial" w:cs="Arial"/>
          <w:sz w:val="24"/>
          <w:szCs w:val="24"/>
        </w:rPr>
        <w:t>) together with the details of materiality defined therein before the Board and Audit Committee of the</w:t>
      </w:r>
      <w:r w:rsidRPr="00EE77C9">
        <w:rPr>
          <w:rFonts w:ascii="Arial" w:hAnsi="Arial" w:cs="Arial"/>
          <w:spacing w:val="-17"/>
          <w:sz w:val="24"/>
          <w:szCs w:val="24"/>
        </w:rPr>
        <w:t xml:space="preserve"> </w:t>
      </w:r>
      <w:r w:rsidRPr="00EE77C9">
        <w:rPr>
          <w:rFonts w:ascii="Arial" w:hAnsi="Arial" w:cs="Arial"/>
          <w:sz w:val="24"/>
          <w:szCs w:val="24"/>
        </w:rPr>
        <w:t>Board.</w:t>
      </w:r>
    </w:p>
    <w:p w:rsidR="00D81374" w:rsidRPr="00EE77C9" w:rsidRDefault="00D81374">
      <w:pPr>
        <w:pStyle w:val="BodyText"/>
        <w:rPr>
          <w:rFonts w:ascii="Arial" w:hAnsi="Arial" w:cs="Arial"/>
        </w:rPr>
      </w:pPr>
    </w:p>
    <w:p w:rsidR="00D81374" w:rsidRPr="00EE77C9" w:rsidRDefault="00431E11">
      <w:pPr>
        <w:pStyle w:val="ListParagraph"/>
        <w:numPr>
          <w:ilvl w:val="0"/>
          <w:numId w:val="1"/>
        </w:numPr>
        <w:tabs>
          <w:tab w:val="left" w:pos="348"/>
        </w:tabs>
        <w:ind w:left="101" w:right="108" w:firstLine="0"/>
        <w:jc w:val="both"/>
        <w:rPr>
          <w:rFonts w:ascii="Arial" w:hAnsi="Arial" w:cs="Arial"/>
          <w:sz w:val="24"/>
          <w:szCs w:val="24"/>
        </w:rPr>
      </w:pPr>
      <w:r w:rsidRPr="00EE77C9">
        <w:rPr>
          <w:rFonts w:ascii="Arial" w:hAnsi="Arial" w:cs="Arial"/>
          <w:sz w:val="24"/>
          <w:szCs w:val="24"/>
        </w:rPr>
        <w:t>The Audit Committee shall also review the financial statements, in particular, the investments made by the Unlisted Subsidiary</w:t>
      </w:r>
      <w:r w:rsidRPr="00EE77C9">
        <w:rPr>
          <w:rFonts w:ascii="Arial" w:hAnsi="Arial" w:cs="Arial"/>
          <w:spacing w:val="-8"/>
          <w:sz w:val="24"/>
          <w:szCs w:val="24"/>
        </w:rPr>
        <w:t xml:space="preserve"> </w:t>
      </w:r>
      <w:r w:rsidRPr="00EE77C9">
        <w:rPr>
          <w:rFonts w:ascii="Arial" w:hAnsi="Arial" w:cs="Arial"/>
          <w:spacing w:val="-3"/>
          <w:sz w:val="24"/>
          <w:szCs w:val="24"/>
        </w:rPr>
        <w:t>Company.</w:t>
      </w:r>
    </w:p>
    <w:p w:rsidR="00D81374" w:rsidRPr="00EE77C9" w:rsidRDefault="00D81374">
      <w:pPr>
        <w:pStyle w:val="BodyText"/>
        <w:rPr>
          <w:rFonts w:ascii="Arial" w:hAnsi="Arial" w:cs="Arial"/>
        </w:rPr>
      </w:pPr>
    </w:p>
    <w:p w:rsidR="00D81374" w:rsidRPr="00EE77C9" w:rsidRDefault="00431E11">
      <w:pPr>
        <w:pStyle w:val="ListParagraph"/>
        <w:numPr>
          <w:ilvl w:val="0"/>
          <w:numId w:val="1"/>
        </w:numPr>
        <w:tabs>
          <w:tab w:val="left" w:pos="344"/>
        </w:tabs>
        <w:ind w:left="101" w:right="102" w:firstLine="0"/>
        <w:jc w:val="both"/>
        <w:rPr>
          <w:rFonts w:ascii="Arial" w:hAnsi="Arial" w:cs="Arial"/>
          <w:sz w:val="24"/>
          <w:szCs w:val="24"/>
        </w:rPr>
      </w:pPr>
      <w:r w:rsidRPr="00EE77C9">
        <w:rPr>
          <w:rFonts w:ascii="Arial" w:hAnsi="Arial" w:cs="Arial"/>
          <w:sz w:val="24"/>
          <w:szCs w:val="24"/>
        </w:rPr>
        <w:t>The minutes of the Board Meetings of the Unlisted Subsidiary Company shall be placed at the Board Meeting of the Company at regular</w:t>
      </w:r>
      <w:r w:rsidRPr="00EE77C9">
        <w:rPr>
          <w:rFonts w:ascii="Arial" w:hAnsi="Arial" w:cs="Arial"/>
          <w:spacing w:val="-2"/>
          <w:sz w:val="24"/>
          <w:szCs w:val="24"/>
        </w:rPr>
        <w:t xml:space="preserve"> </w:t>
      </w:r>
      <w:r w:rsidRPr="00EE77C9">
        <w:rPr>
          <w:rFonts w:ascii="Arial" w:hAnsi="Arial" w:cs="Arial"/>
          <w:sz w:val="24"/>
          <w:szCs w:val="24"/>
        </w:rPr>
        <w:t>intervals.</w:t>
      </w:r>
    </w:p>
    <w:p w:rsidR="00D81374" w:rsidRPr="00EE77C9" w:rsidRDefault="00D81374">
      <w:pPr>
        <w:pStyle w:val="BodyText"/>
        <w:rPr>
          <w:rFonts w:ascii="Arial" w:hAnsi="Arial" w:cs="Arial"/>
        </w:rPr>
      </w:pPr>
    </w:p>
    <w:p w:rsidR="00D81374" w:rsidRPr="00EE77C9" w:rsidRDefault="00431E11">
      <w:pPr>
        <w:pStyle w:val="ListParagraph"/>
        <w:numPr>
          <w:ilvl w:val="0"/>
          <w:numId w:val="1"/>
        </w:numPr>
        <w:tabs>
          <w:tab w:val="left" w:pos="410"/>
        </w:tabs>
        <w:ind w:left="101" w:right="112" w:firstLine="65"/>
        <w:jc w:val="both"/>
        <w:rPr>
          <w:rFonts w:ascii="Arial" w:hAnsi="Arial" w:cs="Arial"/>
          <w:sz w:val="24"/>
          <w:szCs w:val="24"/>
        </w:rPr>
      </w:pPr>
      <w:r w:rsidRPr="00EE77C9">
        <w:rPr>
          <w:rFonts w:ascii="Arial" w:hAnsi="Arial" w:cs="Arial"/>
          <w:sz w:val="24"/>
          <w:szCs w:val="24"/>
        </w:rPr>
        <w:t>The Board shall be provided with a statement of all significant transactions and arrangements entered into by the Unlisted Subsidiary</w:t>
      </w:r>
      <w:r w:rsidRPr="00EE77C9">
        <w:rPr>
          <w:rFonts w:ascii="Arial" w:hAnsi="Arial" w:cs="Arial"/>
          <w:spacing w:val="-7"/>
          <w:sz w:val="24"/>
          <w:szCs w:val="24"/>
        </w:rPr>
        <w:t xml:space="preserve"> </w:t>
      </w:r>
      <w:r w:rsidRPr="00EE77C9">
        <w:rPr>
          <w:rFonts w:ascii="Arial" w:hAnsi="Arial" w:cs="Arial"/>
          <w:spacing w:val="-3"/>
          <w:sz w:val="24"/>
          <w:szCs w:val="24"/>
        </w:rPr>
        <w:t>Company.</w:t>
      </w:r>
    </w:p>
    <w:p w:rsidR="00D81374" w:rsidRPr="00EE77C9" w:rsidRDefault="00D81374">
      <w:pPr>
        <w:pStyle w:val="BodyText"/>
        <w:rPr>
          <w:rFonts w:ascii="Arial" w:hAnsi="Arial" w:cs="Arial"/>
        </w:rPr>
      </w:pPr>
    </w:p>
    <w:p w:rsidR="00D81374" w:rsidRPr="00EE77C9" w:rsidRDefault="00431E11">
      <w:pPr>
        <w:pStyle w:val="ListParagraph"/>
        <w:numPr>
          <w:ilvl w:val="0"/>
          <w:numId w:val="1"/>
        </w:numPr>
        <w:tabs>
          <w:tab w:val="left" w:pos="366"/>
        </w:tabs>
        <w:spacing w:before="1"/>
        <w:ind w:left="101" w:right="115" w:firstLine="0"/>
        <w:jc w:val="both"/>
        <w:rPr>
          <w:rFonts w:ascii="Arial" w:hAnsi="Arial" w:cs="Arial"/>
          <w:sz w:val="24"/>
          <w:szCs w:val="24"/>
        </w:rPr>
      </w:pPr>
      <w:r w:rsidRPr="00EE77C9">
        <w:rPr>
          <w:rFonts w:ascii="Arial" w:hAnsi="Arial" w:cs="Arial"/>
          <w:sz w:val="24"/>
          <w:szCs w:val="24"/>
        </w:rPr>
        <w:t>One Independent Director of the Company shall be a Director on the Board of the Material Non-Listed Indian Subsidiary.</w:t>
      </w:r>
    </w:p>
    <w:p w:rsidR="00D81374" w:rsidRPr="00EE77C9" w:rsidRDefault="00D81374">
      <w:pPr>
        <w:pStyle w:val="BodyText"/>
        <w:spacing w:before="11"/>
        <w:rPr>
          <w:rFonts w:ascii="Arial" w:hAnsi="Arial" w:cs="Arial"/>
        </w:rPr>
      </w:pPr>
    </w:p>
    <w:p w:rsidR="00D81374" w:rsidRPr="00EE77C9" w:rsidRDefault="00431E11">
      <w:pPr>
        <w:pStyle w:val="ListParagraph"/>
        <w:numPr>
          <w:ilvl w:val="0"/>
          <w:numId w:val="1"/>
        </w:numPr>
        <w:tabs>
          <w:tab w:val="left" w:pos="384"/>
        </w:tabs>
        <w:ind w:left="101" w:right="103" w:firstLine="0"/>
        <w:jc w:val="both"/>
        <w:rPr>
          <w:rFonts w:ascii="Arial" w:hAnsi="Arial" w:cs="Arial"/>
          <w:sz w:val="24"/>
          <w:szCs w:val="24"/>
        </w:rPr>
      </w:pPr>
      <w:r w:rsidRPr="00EE77C9">
        <w:rPr>
          <w:rFonts w:ascii="Arial" w:hAnsi="Arial" w:cs="Arial"/>
          <w:sz w:val="24"/>
          <w:szCs w:val="24"/>
        </w:rPr>
        <w:t>The Company shall not dispose of shares in Material Subsidiary, which would reduce its shareholding (either on its own or together with other Subsidiaries) to less than 50% or cease the exercise of control over the Subsidiary without passing a special resolution in its general meeting except in cases where such divestment is made under a scheme of arrangement duly approved by court /</w:t>
      </w:r>
      <w:r w:rsidRPr="00EE77C9">
        <w:rPr>
          <w:rFonts w:ascii="Arial" w:hAnsi="Arial" w:cs="Arial"/>
          <w:spacing w:val="-5"/>
          <w:sz w:val="24"/>
          <w:szCs w:val="24"/>
        </w:rPr>
        <w:t xml:space="preserve"> </w:t>
      </w:r>
      <w:r w:rsidRPr="00EE77C9">
        <w:rPr>
          <w:rFonts w:ascii="Arial" w:hAnsi="Arial" w:cs="Arial"/>
          <w:sz w:val="24"/>
          <w:szCs w:val="24"/>
        </w:rPr>
        <w:t>Tribunal.</w:t>
      </w:r>
    </w:p>
    <w:p w:rsidR="00D81374" w:rsidRPr="00EE77C9" w:rsidRDefault="00D81374">
      <w:pPr>
        <w:jc w:val="both"/>
        <w:rPr>
          <w:rFonts w:ascii="Arial" w:hAnsi="Arial" w:cs="Arial"/>
          <w:sz w:val="24"/>
          <w:szCs w:val="24"/>
        </w:rPr>
        <w:sectPr w:rsidR="00D81374" w:rsidRPr="00EE77C9">
          <w:pgSz w:w="12240" w:h="15840"/>
          <w:pgMar w:top="1380" w:right="1340" w:bottom="280" w:left="1340" w:header="720" w:footer="720" w:gutter="0"/>
          <w:cols w:space="720"/>
        </w:sectPr>
      </w:pPr>
    </w:p>
    <w:p w:rsidR="00D81374" w:rsidRPr="00EE77C9" w:rsidRDefault="00D81374">
      <w:pPr>
        <w:pStyle w:val="BodyText"/>
        <w:spacing w:before="11"/>
        <w:rPr>
          <w:rFonts w:ascii="Arial" w:hAnsi="Arial" w:cs="Arial"/>
        </w:rPr>
      </w:pPr>
    </w:p>
    <w:p w:rsidR="00D81374" w:rsidRPr="00EE77C9" w:rsidRDefault="00431E11">
      <w:pPr>
        <w:pStyle w:val="ListParagraph"/>
        <w:numPr>
          <w:ilvl w:val="0"/>
          <w:numId w:val="1"/>
        </w:numPr>
        <w:tabs>
          <w:tab w:val="left" w:pos="380"/>
        </w:tabs>
        <w:spacing w:before="90"/>
        <w:ind w:left="101" w:right="106" w:firstLine="0"/>
        <w:jc w:val="both"/>
        <w:rPr>
          <w:rFonts w:ascii="Arial" w:hAnsi="Arial" w:cs="Arial"/>
          <w:sz w:val="24"/>
          <w:szCs w:val="24"/>
        </w:rPr>
      </w:pPr>
      <w:r w:rsidRPr="00EE77C9">
        <w:rPr>
          <w:rFonts w:ascii="Arial" w:hAnsi="Arial" w:cs="Arial"/>
          <w:sz w:val="24"/>
          <w:szCs w:val="24"/>
        </w:rPr>
        <w:t>Selling, disposing and leasing of assets amounting to more than 2O% of the assets of the Material Subsidiary on an aggregate basis during a financial year shall require prior approval of shareholders by way of special resolution unless the sale / disposal / lease is made under a scheme of arrangement duly approved by a Court /</w:t>
      </w:r>
      <w:r w:rsidRPr="00EE77C9">
        <w:rPr>
          <w:rFonts w:ascii="Arial" w:hAnsi="Arial" w:cs="Arial"/>
          <w:spacing w:val="-11"/>
          <w:sz w:val="24"/>
          <w:szCs w:val="24"/>
        </w:rPr>
        <w:t xml:space="preserve"> </w:t>
      </w:r>
      <w:r w:rsidRPr="00EE77C9">
        <w:rPr>
          <w:rFonts w:ascii="Arial" w:hAnsi="Arial" w:cs="Arial"/>
          <w:sz w:val="24"/>
          <w:szCs w:val="24"/>
        </w:rPr>
        <w:t>Tribunal.</w:t>
      </w:r>
    </w:p>
    <w:p w:rsidR="00D81374" w:rsidRPr="00EE77C9" w:rsidRDefault="00D81374">
      <w:pPr>
        <w:pStyle w:val="BodyText"/>
        <w:rPr>
          <w:rFonts w:ascii="Arial" w:hAnsi="Arial" w:cs="Arial"/>
        </w:rPr>
      </w:pPr>
    </w:p>
    <w:p w:rsidR="00D81374" w:rsidRPr="00EE77C9" w:rsidRDefault="00431E11">
      <w:pPr>
        <w:pStyle w:val="Heading1"/>
        <w:rPr>
          <w:rFonts w:ascii="Arial" w:hAnsi="Arial" w:cs="Arial"/>
          <w:b w:val="0"/>
        </w:rPr>
      </w:pPr>
      <w:proofErr w:type="spellStart"/>
      <w:r w:rsidRPr="00EE77C9">
        <w:rPr>
          <w:rFonts w:ascii="Arial" w:hAnsi="Arial" w:cs="Arial"/>
        </w:rPr>
        <w:t>lV.</w:t>
      </w:r>
      <w:proofErr w:type="spellEnd"/>
      <w:r w:rsidRPr="00EE77C9">
        <w:rPr>
          <w:rFonts w:ascii="Arial" w:hAnsi="Arial" w:cs="Arial"/>
        </w:rPr>
        <w:t xml:space="preserve"> Disclosures</w:t>
      </w:r>
      <w:r w:rsidRPr="00EE77C9">
        <w:rPr>
          <w:rFonts w:ascii="Arial" w:hAnsi="Arial" w:cs="Arial"/>
          <w:b w:val="0"/>
        </w:rPr>
        <w:t>:</w:t>
      </w:r>
    </w:p>
    <w:p w:rsidR="00D81374" w:rsidRPr="00EE77C9" w:rsidRDefault="00D81374">
      <w:pPr>
        <w:pStyle w:val="BodyText"/>
        <w:rPr>
          <w:rFonts w:ascii="Arial" w:hAnsi="Arial" w:cs="Arial"/>
        </w:rPr>
      </w:pPr>
    </w:p>
    <w:p w:rsidR="00D81374" w:rsidRPr="00EE77C9" w:rsidRDefault="00431E11">
      <w:pPr>
        <w:pStyle w:val="BodyText"/>
        <w:ind w:left="101" w:right="112"/>
        <w:jc w:val="both"/>
        <w:rPr>
          <w:rFonts w:ascii="Arial" w:hAnsi="Arial" w:cs="Arial"/>
        </w:rPr>
      </w:pPr>
      <w:r w:rsidRPr="00EE77C9">
        <w:rPr>
          <w:rFonts w:ascii="Arial" w:hAnsi="Arial" w:cs="Arial"/>
        </w:rPr>
        <w:t>The Company shall disclose in its Board's Report, details of this Policy as required under the Act and SEBI (LODR) Regulations 2015. This Policy shall be disclosed on the Company's website and a web link thereto shall be provided in the Board's Report.</w:t>
      </w:r>
    </w:p>
    <w:p w:rsidR="00D81374" w:rsidRPr="00EE77C9" w:rsidRDefault="00D81374">
      <w:pPr>
        <w:pStyle w:val="BodyText"/>
        <w:rPr>
          <w:rFonts w:ascii="Arial" w:hAnsi="Arial" w:cs="Arial"/>
        </w:rPr>
      </w:pPr>
    </w:p>
    <w:p w:rsidR="00D81374" w:rsidRPr="00EE77C9" w:rsidRDefault="00431E11">
      <w:pPr>
        <w:pStyle w:val="Heading1"/>
        <w:rPr>
          <w:rFonts w:ascii="Arial" w:hAnsi="Arial" w:cs="Arial"/>
        </w:rPr>
      </w:pPr>
      <w:r w:rsidRPr="00EE77C9">
        <w:rPr>
          <w:rFonts w:ascii="Arial" w:hAnsi="Arial" w:cs="Arial"/>
        </w:rPr>
        <w:t>V. Limitation and Amendment:</w:t>
      </w:r>
    </w:p>
    <w:p w:rsidR="00D81374" w:rsidRPr="00EE77C9" w:rsidRDefault="00D81374">
      <w:pPr>
        <w:pStyle w:val="BodyText"/>
        <w:rPr>
          <w:rFonts w:ascii="Arial" w:hAnsi="Arial" w:cs="Arial"/>
          <w:b/>
        </w:rPr>
      </w:pPr>
    </w:p>
    <w:p w:rsidR="00D81374" w:rsidRPr="00EE77C9" w:rsidRDefault="00431E11">
      <w:pPr>
        <w:pStyle w:val="BodyText"/>
        <w:ind w:left="101" w:right="105"/>
        <w:jc w:val="both"/>
        <w:rPr>
          <w:rFonts w:ascii="Arial" w:hAnsi="Arial" w:cs="Arial"/>
        </w:rPr>
      </w:pPr>
      <w:proofErr w:type="gramStart"/>
      <w:r w:rsidRPr="00EE77C9">
        <w:rPr>
          <w:rFonts w:ascii="Arial" w:hAnsi="Arial" w:cs="Arial"/>
        </w:rPr>
        <w:t>ln</w:t>
      </w:r>
      <w:proofErr w:type="gramEnd"/>
      <w:r w:rsidRPr="00EE77C9">
        <w:rPr>
          <w:rFonts w:ascii="Arial" w:hAnsi="Arial" w:cs="Arial"/>
        </w:rPr>
        <w:t xml:space="preserve"> the event of any conflict between the provisions of this Policy and of the Act or SEBI(LODR) Regulations 2015 or any other statutory enactments, rules, the provisions of such Act or SEBI(LODR) Regulations 2015 or Statutory enactments, rules shall prevail over this Policy. Any subsequent amendment / modification in the SEBI (LODR) Regulations 2015, Act and / or applicable laws in this regard shall automatically apply to this policy.</w:t>
      </w:r>
      <w:bookmarkStart w:id="0" w:name="_GoBack"/>
      <w:bookmarkEnd w:id="0"/>
    </w:p>
    <w:sectPr w:rsidR="00D81374" w:rsidRPr="00EE77C9">
      <w:pgSz w:w="12240" w:h="15840"/>
      <w:pgMar w:top="1500" w:right="134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C03B8D"/>
    <w:multiLevelType w:val="hybridMultilevel"/>
    <w:tmpl w:val="C19E76EA"/>
    <w:lvl w:ilvl="0" w:tplc="85AA3B34">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341E0EE5"/>
    <w:multiLevelType w:val="hybridMultilevel"/>
    <w:tmpl w:val="F8D2399C"/>
    <w:lvl w:ilvl="0" w:tplc="5E929B72">
      <w:start w:val="1"/>
      <w:numFmt w:val="upperRoman"/>
      <w:lvlText w:val="%1."/>
      <w:lvlJc w:val="left"/>
      <w:pPr>
        <w:ind w:left="862" w:hanging="720"/>
      </w:pPr>
      <w:rPr>
        <w:rFonts w:hint="default"/>
      </w:r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2" w15:restartNumberingAfterBreak="0">
    <w:nsid w:val="487C787B"/>
    <w:multiLevelType w:val="hybridMultilevel"/>
    <w:tmpl w:val="B6DCB6B8"/>
    <w:lvl w:ilvl="0" w:tplc="47C4AE4E">
      <w:start w:val="1"/>
      <w:numFmt w:val="decimal"/>
      <w:lvlText w:val="%1."/>
      <w:lvlJc w:val="left"/>
      <w:pPr>
        <w:ind w:left="102" w:hanging="238"/>
        <w:jc w:val="right"/>
      </w:pPr>
      <w:rPr>
        <w:rFonts w:ascii="Times New Roman" w:eastAsia="Times New Roman" w:hAnsi="Times New Roman" w:cs="Times New Roman" w:hint="default"/>
        <w:w w:val="100"/>
        <w:sz w:val="24"/>
        <w:szCs w:val="24"/>
        <w:lang w:val="en-US" w:eastAsia="en-US" w:bidi="en-US"/>
      </w:rPr>
    </w:lvl>
    <w:lvl w:ilvl="1" w:tplc="53EAD01E">
      <w:numFmt w:val="bullet"/>
      <w:lvlText w:val="•"/>
      <w:lvlJc w:val="left"/>
      <w:pPr>
        <w:ind w:left="1046" w:hanging="238"/>
      </w:pPr>
      <w:rPr>
        <w:rFonts w:hint="default"/>
        <w:lang w:val="en-US" w:eastAsia="en-US" w:bidi="en-US"/>
      </w:rPr>
    </w:lvl>
    <w:lvl w:ilvl="2" w:tplc="90F8135C">
      <w:numFmt w:val="bullet"/>
      <w:lvlText w:val="•"/>
      <w:lvlJc w:val="left"/>
      <w:pPr>
        <w:ind w:left="1992" w:hanging="238"/>
      </w:pPr>
      <w:rPr>
        <w:rFonts w:hint="default"/>
        <w:lang w:val="en-US" w:eastAsia="en-US" w:bidi="en-US"/>
      </w:rPr>
    </w:lvl>
    <w:lvl w:ilvl="3" w:tplc="07688230">
      <w:numFmt w:val="bullet"/>
      <w:lvlText w:val="•"/>
      <w:lvlJc w:val="left"/>
      <w:pPr>
        <w:ind w:left="2938" w:hanging="238"/>
      </w:pPr>
      <w:rPr>
        <w:rFonts w:hint="default"/>
        <w:lang w:val="en-US" w:eastAsia="en-US" w:bidi="en-US"/>
      </w:rPr>
    </w:lvl>
    <w:lvl w:ilvl="4" w:tplc="05389F7C">
      <w:numFmt w:val="bullet"/>
      <w:lvlText w:val="•"/>
      <w:lvlJc w:val="left"/>
      <w:pPr>
        <w:ind w:left="3884" w:hanging="238"/>
      </w:pPr>
      <w:rPr>
        <w:rFonts w:hint="default"/>
        <w:lang w:val="en-US" w:eastAsia="en-US" w:bidi="en-US"/>
      </w:rPr>
    </w:lvl>
    <w:lvl w:ilvl="5" w:tplc="085AAEAA">
      <w:numFmt w:val="bullet"/>
      <w:lvlText w:val="•"/>
      <w:lvlJc w:val="left"/>
      <w:pPr>
        <w:ind w:left="4830" w:hanging="238"/>
      </w:pPr>
      <w:rPr>
        <w:rFonts w:hint="default"/>
        <w:lang w:val="en-US" w:eastAsia="en-US" w:bidi="en-US"/>
      </w:rPr>
    </w:lvl>
    <w:lvl w:ilvl="6" w:tplc="3B2A45BA">
      <w:numFmt w:val="bullet"/>
      <w:lvlText w:val="•"/>
      <w:lvlJc w:val="left"/>
      <w:pPr>
        <w:ind w:left="5776" w:hanging="238"/>
      </w:pPr>
      <w:rPr>
        <w:rFonts w:hint="default"/>
        <w:lang w:val="en-US" w:eastAsia="en-US" w:bidi="en-US"/>
      </w:rPr>
    </w:lvl>
    <w:lvl w:ilvl="7" w:tplc="3DA8B404">
      <w:numFmt w:val="bullet"/>
      <w:lvlText w:val="•"/>
      <w:lvlJc w:val="left"/>
      <w:pPr>
        <w:ind w:left="6722" w:hanging="238"/>
      </w:pPr>
      <w:rPr>
        <w:rFonts w:hint="default"/>
        <w:lang w:val="en-US" w:eastAsia="en-US" w:bidi="en-US"/>
      </w:rPr>
    </w:lvl>
    <w:lvl w:ilvl="8" w:tplc="9A2637CA">
      <w:numFmt w:val="bullet"/>
      <w:lvlText w:val="•"/>
      <w:lvlJc w:val="left"/>
      <w:pPr>
        <w:ind w:left="7668" w:hanging="238"/>
      </w:pPr>
      <w:rPr>
        <w:rFonts w:hint="default"/>
        <w:lang w:val="en-US" w:eastAsia="en-US" w:bidi="en-US"/>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
  <w:rsids>
    <w:rsidRoot w:val="00D81374"/>
    <w:rsid w:val="00431E11"/>
    <w:rsid w:val="00856F14"/>
    <w:rsid w:val="009A1C3D"/>
    <w:rsid w:val="00B72B4E"/>
    <w:rsid w:val="00D81374"/>
    <w:rsid w:val="00EE77C9"/>
    <w:rsid w:val="00F85D9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F9CC3C-EFDD-4A2F-AD5B-99F9D46A2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ind w:left="101"/>
      <w:jc w:val="both"/>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01" w:right="100"/>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F85D9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5D99"/>
    <w:rPr>
      <w:rFonts w:ascii="Segoe UI" w:eastAsia="Times New Roman" w:hAnsi="Segoe UI" w:cs="Segoe UI"/>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847</Words>
  <Characters>4834</Characters>
  <Application>Microsoft Office Word</Application>
  <DocSecurity>0</DocSecurity>
  <Lines>40</Lines>
  <Paragraphs>11</Paragraphs>
  <ScaleCrop>false</ScaleCrop>
  <Company>home</Company>
  <LinksUpToDate>false</LinksUpToDate>
  <CharactersWithSpaces>5670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USER05 AC</dc:creator>
  <cp:lastModifiedBy>sabitha</cp:lastModifiedBy>
  <cp:revision>7</cp:revision>
  <cp:lastPrinted>2019-04-11T07:55:00Z</cp:lastPrinted>
  <dcterms:created xsi:type="dcterms:W3CDTF">2019-04-05T09:54:00Z</dcterms:created>
  <dcterms:modified xsi:type="dcterms:W3CDTF">2019-04-11T07:55:00Z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2016-06-17T00:00:00Z</vt:filetime>
  </property>
  <property fmtid="{D5CDD505-2E9C-101B-9397-08002B2CF9AE}" pid="3" name="Creator">
    <vt:lpwstr>Writer</vt:lpwstr>
  </property>
  <property fmtid="{D5CDD505-2E9C-101B-9397-08002B2CF9AE}" pid="4" name="LastSaved">
    <vt:filetime>2016-06-17T00:00:00Z</vt:filetime>
  </property>
</Properties>
</file>